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61C4AD" w14:textId="77777777" w:rsidR="00B9305B" w:rsidRPr="00D6090D" w:rsidRDefault="00B9305B" w:rsidP="00B9305B">
      <w:pPr>
        <w:spacing w:after="0" w:line="240" w:lineRule="auto"/>
        <w:jc w:val="right"/>
        <w:rPr>
          <w:rFonts w:ascii="Arial" w:hAnsi="Arial" w:cs="Arial"/>
          <w:sz w:val="20"/>
          <w:szCs w:val="20"/>
          <w:lang w:val="en-US"/>
        </w:rPr>
      </w:pPr>
    </w:p>
    <w:p w14:paraId="6EC2D8E4" w14:textId="0A3119F2" w:rsidR="00B9305B" w:rsidRDefault="000D3F94" w:rsidP="00B9305B">
      <w:pPr>
        <w:tabs>
          <w:tab w:val="left" w:pos="480"/>
        </w:tabs>
        <w:spacing w:after="0" w:line="240" w:lineRule="auto"/>
        <w:jc w:val="center"/>
        <w:rPr>
          <w:rFonts w:ascii="Arial" w:hAnsi="Arial" w:cs="Arial"/>
          <w:b/>
          <w:bCs/>
          <w:sz w:val="20"/>
          <w:szCs w:val="20"/>
        </w:rPr>
      </w:pPr>
      <w:r w:rsidRPr="000D3F94">
        <w:rPr>
          <w:rFonts w:ascii="Arial" w:hAnsi="Arial" w:cs="Arial"/>
          <w:b/>
          <w:bCs/>
          <w:sz w:val="20"/>
          <w:szCs w:val="20"/>
        </w:rPr>
        <w:t xml:space="preserve">METHODOLOGY FOR EVALUATING ECONOMIC </w:t>
      </w:r>
      <w:r w:rsidR="005103CB">
        <w:rPr>
          <w:rFonts w:ascii="Arial" w:hAnsi="Arial" w:cs="Arial"/>
          <w:b/>
          <w:bCs/>
          <w:sz w:val="20"/>
          <w:szCs w:val="20"/>
        </w:rPr>
        <w:t>UTILITY</w:t>
      </w:r>
    </w:p>
    <w:p w14:paraId="520D9E2F" w14:textId="77777777" w:rsidR="00D6090D" w:rsidRPr="00D6090D" w:rsidRDefault="00D6090D" w:rsidP="00B9305B">
      <w:pPr>
        <w:tabs>
          <w:tab w:val="left" w:pos="480"/>
        </w:tabs>
        <w:spacing w:after="0" w:line="240" w:lineRule="auto"/>
        <w:jc w:val="center"/>
        <w:rPr>
          <w:rFonts w:ascii="Arial" w:hAnsi="Arial" w:cs="Arial"/>
          <w:b/>
          <w:bCs/>
          <w:sz w:val="20"/>
          <w:szCs w:val="20"/>
        </w:rPr>
      </w:pPr>
    </w:p>
    <w:p w14:paraId="7342C472" w14:textId="77777777" w:rsidR="00B9305B" w:rsidRPr="007F4756" w:rsidRDefault="00B9305B" w:rsidP="00B9305B">
      <w:pPr>
        <w:tabs>
          <w:tab w:val="left" w:pos="480"/>
        </w:tabs>
        <w:spacing w:after="0" w:line="240" w:lineRule="auto"/>
        <w:rPr>
          <w:rFonts w:asciiTheme="majorHAnsi" w:hAnsiTheme="majorHAnsi" w:cstheme="majorHAnsi"/>
          <w:sz w:val="20"/>
          <w:szCs w:val="20"/>
        </w:rPr>
      </w:pPr>
    </w:p>
    <w:p w14:paraId="0D7E74A7" w14:textId="5BFBA793" w:rsidR="00041D39" w:rsidRPr="00560E25" w:rsidRDefault="00D04E9F" w:rsidP="00041D39">
      <w:pPr>
        <w:numPr>
          <w:ilvl w:val="0"/>
          <w:numId w:val="1"/>
        </w:numPr>
        <w:tabs>
          <w:tab w:val="left" w:pos="284"/>
        </w:tabs>
        <w:spacing w:before="60" w:after="60" w:line="240" w:lineRule="auto"/>
        <w:ind w:left="0" w:firstLine="0"/>
        <w:jc w:val="both"/>
        <w:rPr>
          <w:rFonts w:ascii="Arial" w:eastAsia="Arial" w:hAnsi="Arial" w:cs="Arial"/>
          <w:sz w:val="20"/>
          <w:szCs w:val="20"/>
        </w:rPr>
      </w:pPr>
      <w:r w:rsidRPr="00D04E9F">
        <w:rPr>
          <w:rFonts w:ascii="Arial" w:eastAsia="Arial" w:hAnsi="Arial" w:cs="Arial"/>
          <w:sz w:val="20"/>
          <w:szCs w:val="20"/>
        </w:rPr>
        <w:t xml:space="preserve">This Annex provides the criteria for evaluating the most economically advantageous </w:t>
      </w:r>
      <w:r>
        <w:rPr>
          <w:rFonts w:ascii="Arial" w:eastAsia="Arial" w:hAnsi="Arial" w:cs="Arial"/>
          <w:sz w:val="20"/>
          <w:szCs w:val="20"/>
        </w:rPr>
        <w:t>tender</w:t>
      </w:r>
      <w:r w:rsidRPr="00D04E9F">
        <w:rPr>
          <w:rFonts w:ascii="Arial" w:eastAsia="Arial" w:hAnsi="Arial" w:cs="Arial"/>
          <w:sz w:val="20"/>
          <w:szCs w:val="20"/>
        </w:rPr>
        <w:t xml:space="preserve">, comparative weights, formulas according to which the economic </w:t>
      </w:r>
      <w:r w:rsidR="005103CB">
        <w:rPr>
          <w:rFonts w:ascii="Arial" w:eastAsia="Arial" w:hAnsi="Arial" w:cs="Arial"/>
          <w:sz w:val="20"/>
          <w:szCs w:val="20"/>
        </w:rPr>
        <w:t>utility</w:t>
      </w:r>
      <w:r w:rsidRPr="00D04E9F">
        <w:rPr>
          <w:rFonts w:ascii="Arial" w:eastAsia="Arial" w:hAnsi="Arial" w:cs="Arial"/>
          <w:sz w:val="20"/>
          <w:szCs w:val="20"/>
        </w:rPr>
        <w:t xml:space="preserve"> of </w:t>
      </w:r>
      <w:r>
        <w:rPr>
          <w:rFonts w:ascii="Arial" w:eastAsia="Arial" w:hAnsi="Arial" w:cs="Arial"/>
          <w:sz w:val="20"/>
          <w:szCs w:val="20"/>
        </w:rPr>
        <w:t>tenders</w:t>
      </w:r>
      <w:r w:rsidRPr="00D04E9F">
        <w:rPr>
          <w:rFonts w:ascii="Arial" w:eastAsia="Arial" w:hAnsi="Arial" w:cs="Arial"/>
          <w:sz w:val="20"/>
          <w:szCs w:val="20"/>
        </w:rPr>
        <w:t xml:space="preserve"> will be calculated.</w:t>
      </w:r>
    </w:p>
    <w:p w14:paraId="474DEBDB" w14:textId="77777777" w:rsidR="00041D39" w:rsidRDefault="00041D39" w:rsidP="00041D39">
      <w:pPr>
        <w:tabs>
          <w:tab w:val="left" w:pos="4305"/>
        </w:tabs>
        <w:spacing w:before="60" w:after="60"/>
        <w:rPr>
          <w:rFonts w:ascii="Arial" w:hAnsi="Arial" w:cs="Arial"/>
          <w:b/>
          <w:bCs/>
          <w:sz w:val="20"/>
          <w:szCs w:val="20"/>
        </w:rPr>
      </w:pPr>
    </w:p>
    <w:p w14:paraId="135E0B73" w14:textId="68C70281" w:rsidR="00041D39" w:rsidRPr="004A4ADC" w:rsidRDefault="00783A65" w:rsidP="00041D39">
      <w:pPr>
        <w:spacing w:before="60" w:after="60"/>
        <w:rPr>
          <w:rFonts w:ascii="Arial" w:eastAsia="Arial" w:hAnsi="Arial" w:cs="Arial"/>
          <w:i/>
          <w:iCs/>
          <w:sz w:val="20"/>
          <w:szCs w:val="20"/>
        </w:rPr>
      </w:pPr>
      <w:r>
        <w:rPr>
          <w:rFonts w:ascii="Arial" w:eastAsia="Arial" w:hAnsi="Arial" w:cs="Arial"/>
          <w:i/>
          <w:iCs/>
          <w:sz w:val="20"/>
          <w:szCs w:val="20"/>
        </w:rPr>
        <w:t>Table No 1</w:t>
      </w:r>
      <w:r w:rsidR="00041D39" w:rsidRPr="004A4ADC">
        <w:rPr>
          <w:rFonts w:ascii="Arial" w:eastAsia="Arial" w:hAnsi="Arial" w:cs="Arial"/>
          <w:i/>
          <w:iCs/>
          <w:sz w:val="20"/>
          <w:szCs w:val="20"/>
        </w:rPr>
        <w:t xml:space="preserve">. </w:t>
      </w:r>
      <w:r w:rsidR="00E42089">
        <w:rPr>
          <w:rFonts w:ascii="Arial" w:eastAsia="Arial" w:hAnsi="Arial" w:cs="Arial"/>
          <w:i/>
          <w:iCs/>
          <w:sz w:val="20"/>
          <w:szCs w:val="20"/>
        </w:rPr>
        <w:t>Tender</w:t>
      </w:r>
      <w:r w:rsidR="00E42089" w:rsidRPr="00E42089">
        <w:rPr>
          <w:rFonts w:ascii="Arial" w:eastAsia="Arial" w:hAnsi="Arial" w:cs="Arial"/>
          <w:i/>
          <w:iCs/>
          <w:sz w:val="20"/>
          <w:szCs w:val="20"/>
        </w:rPr>
        <w:t xml:space="preserve"> evaluation criteria and comparative weights</w:t>
      </w:r>
      <w:r w:rsidR="00041D39" w:rsidRPr="004A4ADC">
        <w:rPr>
          <w:rFonts w:ascii="Arial" w:eastAsia="Arial" w:hAnsi="Arial" w:cs="Arial"/>
          <w:i/>
          <w:iCs/>
          <w:sz w:val="20"/>
          <w:szCs w:val="20"/>
        </w:rPr>
        <w:t>.</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5"/>
        <w:gridCol w:w="1983"/>
        <w:gridCol w:w="2440"/>
      </w:tblGrid>
      <w:tr w:rsidR="00041D39" w:rsidRPr="004A4ADC" w14:paraId="32D59D23" w14:textId="77777777" w:rsidTr="00AF4C5F">
        <w:trPr>
          <w:cantSplit/>
        </w:trPr>
        <w:tc>
          <w:tcPr>
            <w:tcW w:w="270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E9FAEB" w14:textId="6CB46753" w:rsidR="00041D39" w:rsidRPr="004A4ADC" w:rsidRDefault="00E42089" w:rsidP="00AF4C5F">
            <w:pPr>
              <w:jc w:val="center"/>
              <w:rPr>
                <w:rFonts w:ascii="Arial" w:eastAsia="Arial" w:hAnsi="Arial" w:cs="Arial"/>
                <w:b/>
                <w:bCs/>
                <w:sz w:val="20"/>
                <w:szCs w:val="20"/>
              </w:rPr>
            </w:pPr>
            <w:r>
              <w:rPr>
                <w:rFonts w:ascii="Arial" w:eastAsia="Arial" w:hAnsi="Arial" w:cs="Arial"/>
                <w:b/>
                <w:bCs/>
                <w:sz w:val="20"/>
                <w:szCs w:val="20"/>
              </w:rPr>
              <w:t>Evaluation criteria</w:t>
            </w:r>
            <w:r w:rsidR="00041D39" w:rsidRPr="004A4ADC">
              <w:rPr>
                <w:rFonts w:ascii="Arial" w:eastAsia="Arial" w:hAnsi="Arial" w:cs="Arial"/>
                <w:b/>
                <w:bCs/>
                <w:sz w:val="20"/>
                <w:szCs w:val="20"/>
              </w:rPr>
              <w:t xml:space="preserve"> </w:t>
            </w:r>
          </w:p>
        </w:tc>
        <w:tc>
          <w:tcPr>
            <w:tcW w:w="103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04BCF6E" w14:textId="77777777" w:rsidR="00041D39" w:rsidRPr="004A4ADC" w:rsidRDefault="00041D39" w:rsidP="00AF4C5F">
            <w:pPr>
              <w:jc w:val="center"/>
              <w:rPr>
                <w:rFonts w:ascii="Arial" w:eastAsia="Arial" w:hAnsi="Arial" w:cs="Arial"/>
                <w:b/>
                <w:bCs/>
                <w:sz w:val="20"/>
                <w:szCs w:val="20"/>
              </w:rPr>
            </w:pPr>
          </w:p>
        </w:tc>
        <w:tc>
          <w:tcPr>
            <w:tcW w:w="126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761826F" w14:textId="1CBEB56B" w:rsidR="00041D39" w:rsidRPr="004A4ADC" w:rsidRDefault="00BD7802" w:rsidP="00AF4C5F">
            <w:pPr>
              <w:jc w:val="center"/>
              <w:rPr>
                <w:rFonts w:ascii="Arial" w:eastAsia="Arial" w:hAnsi="Arial" w:cs="Arial"/>
                <w:b/>
                <w:bCs/>
                <w:sz w:val="20"/>
                <w:szCs w:val="20"/>
              </w:rPr>
            </w:pPr>
            <w:r w:rsidRPr="00BD7802">
              <w:rPr>
                <w:rFonts w:ascii="Arial" w:eastAsia="Arial" w:hAnsi="Arial" w:cs="Arial"/>
                <w:b/>
                <w:bCs/>
                <w:color w:val="000000" w:themeColor="text1"/>
                <w:sz w:val="20"/>
                <w:szCs w:val="20"/>
              </w:rPr>
              <w:t xml:space="preserve">Comparative weight in the assessment of economic </w:t>
            </w:r>
            <w:r w:rsidR="005103CB">
              <w:rPr>
                <w:rFonts w:ascii="Arial" w:eastAsia="Arial" w:hAnsi="Arial" w:cs="Arial"/>
                <w:b/>
                <w:bCs/>
                <w:color w:val="000000" w:themeColor="text1"/>
                <w:sz w:val="20"/>
                <w:szCs w:val="20"/>
              </w:rPr>
              <w:t>utility</w:t>
            </w:r>
          </w:p>
        </w:tc>
      </w:tr>
      <w:tr w:rsidR="00041D39" w:rsidRPr="004A4ADC" w14:paraId="417FEFBE" w14:textId="77777777" w:rsidTr="00AF4C5F">
        <w:trPr>
          <w:cantSplit/>
          <w:trHeight w:val="557"/>
        </w:trPr>
        <w:tc>
          <w:tcPr>
            <w:tcW w:w="2703" w:type="pct"/>
            <w:tcBorders>
              <w:top w:val="single" w:sz="4" w:space="0" w:color="auto"/>
              <w:left w:val="single" w:sz="4" w:space="0" w:color="auto"/>
              <w:bottom w:val="single" w:sz="4" w:space="0" w:color="auto"/>
              <w:right w:val="single" w:sz="4" w:space="0" w:color="auto"/>
            </w:tcBorders>
            <w:vAlign w:val="center"/>
            <w:hideMark/>
          </w:tcPr>
          <w:p w14:paraId="47FA2620" w14:textId="402A730A" w:rsidR="00041D39" w:rsidRPr="004A4ADC" w:rsidRDefault="00041D39" w:rsidP="00AF4C5F">
            <w:pPr>
              <w:jc w:val="center"/>
              <w:rPr>
                <w:rFonts w:ascii="Arial" w:hAnsi="Arial" w:cs="Arial"/>
                <w:sz w:val="20"/>
                <w:szCs w:val="20"/>
              </w:rPr>
            </w:pPr>
            <w:r w:rsidRPr="004A4ADC">
              <w:rPr>
                <w:rFonts w:ascii="Arial" w:eastAsia="Arial" w:hAnsi="Arial" w:cs="Arial"/>
                <w:b/>
                <w:bCs/>
                <w:sz w:val="20"/>
                <w:szCs w:val="20"/>
              </w:rPr>
              <w:t xml:space="preserve">I </w:t>
            </w:r>
            <w:r w:rsidR="00BB5778">
              <w:rPr>
                <w:rFonts w:ascii="Arial" w:eastAsia="Arial" w:hAnsi="Arial" w:cs="Arial"/>
                <w:b/>
                <w:bCs/>
                <w:sz w:val="20"/>
                <w:szCs w:val="20"/>
              </w:rPr>
              <w:t>criterion</w:t>
            </w:r>
            <w:r w:rsidRPr="004A4ADC">
              <w:rPr>
                <w:rFonts w:ascii="Arial" w:eastAsia="Arial" w:hAnsi="Arial" w:cs="Arial"/>
                <w:b/>
                <w:bCs/>
                <w:sz w:val="20"/>
                <w:szCs w:val="20"/>
              </w:rPr>
              <w:t xml:space="preserve"> – </w:t>
            </w:r>
            <w:r w:rsidR="00BB5778">
              <w:rPr>
                <w:rFonts w:ascii="Arial" w:eastAsia="Arial" w:hAnsi="Arial" w:cs="Arial"/>
                <w:b/>
                <w:bCs/>
                <w:sz w:val="20"/>
                <w:szCs w:val="20"/>
              </w:rPr>
              <w:t>Price</w:t>
            </w:r>
            <w:r w:rsidRPr="004A4ADC">
              <w:rPr>
                <w:rFonts w:ascii="Arial" w:eastAsia="Arial" w:hAnsi="Arial" w:cs="Arial"/>
                <w:b/>
                <w:bCs/>
                <w:sz w:val="20"/>
                <w:szCs w:val="20"/>
              </w:rPr>
              <w:t xml:space="preserve"> </w:t>
            </w:r>
            <w:r w:rsidRPr="002F2E18">
              <w:rPr>
                <w:rFonts w:ascii="Arial" w:eastAsia="Arial" w:hAnsi="Arial" w:cs="Arial"/>
                <w:b/>
                <w:bCs/>
                <w:sz w:val="20"/>
                <w:szCs w:val="20"/>
              </w:rPr>
              <w:t>(</w:t>
            </w:r>
            <w:r w:rsidRPr="002F2E18">
              <w:rPr>
                <w:rFonts w:ascii="Arial" w:hAnsi="Arial" w:cs="Arial"/>
                <w:b/>
                <w:bCs/>
                <w:sz w:val="20"/>
                <w:szCs w:val="20"/>
              </w:rPr>
              <w:t>C)</w:t>
            </w:r>
            <w:r>
              <w:rPr>
                <w:rFonts w:ascii="Arial" w:hAnsi="Arial" w:cs="Arial"/>
                <w:b/>
                <w:bCs/>
                <w:i/>
                <w:iCs/>
                <w:sz w:val="20"/>
                <w:szCs w:val="20"/>
              </w:rPr>
              <w:t xml:space="preserve"> </w:t>
            </w:r>
          </w:p>
        </w:tc>
        <w:tc>
          <w:tcPr>
            <w:tcW w:w="1030" w:type="pct"/>
            <w:tcBorders>
              <w:top w:val="single" w:sz="4" w:space="0" w:color="auto"/>
              <w:left w:val="single" w:sz="4" w:space="0" w:color="auto"/>
              <w:bottom w:val="single" w:sz="4" w:space="0" w:color="auto"/>
              <w:right w:val="single" w:sz="4" w:space="0" w:color="auto"/>
            </w:tcBorders>
            <w:vAlign w:val="center"/>
          </w:tcPr>
          <w:p w14:paraId="62956E5E" w14:textId="77777777" w:rsidR="00041D39" w:rsidRPr="004A4ADC" w:rsidRDefault="00041D39" w:rsidP="00AF4C5F">
            <w:pPr>
              <w:jc w:val="center"/>
              <w:rPr>
                <w:rFonts w:ascii="Arial" w:hAnsi="Arial" w:cs="Arial"/>
                <w:sz w:val="20"/>
                <w:szCs w:val="20"/>
              </w:rPr>
            </w:pPr>
          </w:p>
        </w:tc>
        <w:tc>
          <w:tcPr>
            <w:tcW w:w="1267" w:type="pct"/>
            <w:tcBorders>
              <w:top w:val="single" w:sz="4" w:space="0" w:color="auto"/>
              <w:left w:val="single" w:sz="4" w:space="0" w:color="auto"/>
              <w:bottom w:val="single" w:sz="4" w:space="0" w:color="auto"/>
              <w:right w:val="single" w:sz="4" w:space="0" w:color="auto"/>
            </w:tcBorders>
            <w:vAlign w:val="center"/>
            <w:hideMark/>
          </w:tcPr>
          <w:p w14:paraId="19B7F6B3" w14:textId="77777777" w:rsidR="00041D39" w:rsidRPr="004A4ADC" w:rsidRDefault="00041D39" w:rsidP="00AF4C5F">
            <w:pPr>
              <w:jc w:val="center"/>
              <w:rPr>
                <w:rFonts w:ascii="Arial" w:hAnsi="Arial" w:cs="Arial"/>
                <w:sz w:val="20"/>
                <w:szCs w:val="20"/>
              </w:rPr>
            </w:pPr>
            <w:r>
              <w:rPr>
                <w:rFonts w:ascii="Arial" w:hAnsi="Arial" w:cs="Arial"/>
                <w:sz w:val="20"/>
                <w:szCs w:val="20"/>
              </w:rPr>
              <w:t>X = 90</w:t>
            </w:r>
          </w:p>
        </w:tc>
      </w:tr>
      <w:tr w:rsidR="00041D39" w:rsidRPr="004A4ADC" w14:paraId="5E8DF73A" w14:textId="77777777" w:rsidTr="00AF4C5F">
        <w:trPr>
          <w:cantSplit/>
        </w:trPr>
        <w:tc>
          <w:tcPr>
            <w:tcW w:w="2703" w:type="pct"/>
            <w:tcBorders>
              <w:top w:val="single" w:sz="4" w:space="0" w:color="auto"/>
              <w:left w:val="single" w:sz="4" w:space="0" w:color="auto"/>
              <w:bottom w:val="single" w:sz="4" w:space="0" w:color="auto"/>
              <w:right w:val="single" w:sz="4" w:space="0" w:color="auto"/>
            </w:tcBorders>
            <w:vAlign w:val="center"/>
            <w:hideMark/>
          </w:tcPr>
          <w:p w14:paraId="641D2722" w14:textId="0D48BFA2" w:rsidR="00041D39" w:rsidRDefault="00041D39" w:rsidP="00AF4C5F">
            <w:pPr>
              <w:keepNext/>
              <w:spacing w:before="240" w:after="60"/>
              <w:jc w:val="center"/>
              <w:outlineLvl w:val="0"/>
              <w:rPr>
                <w:rFonts w:ascii="Arial" w:eastAsia="Arial" w:hAnsi="Arial" w:cs="Arial"/>
                <w:b/>
                <w:bCs/>
                <w:iCs/>
                <w:sz w:val="20"/>
                <w:szCs w:val="20"/>
              </w:rPr>
            </w:pPr>
            <w:r w:rsidRPr="004A4ADC">
              <w:rPr>
                <w:rFonts w:ascii="Arial" w:eastAsia="Arial" w:hAnsi="Arial" w:cs="Arial"/>
                <w:b/>
                <w:bCs/>
                <w:sz w:val="20"/>
                <w:szCs w:val="20"/>
              </w:rPr>
              <w:t xml:space="preserve">II </w:t>
            </w:r>
            <w:r w:rsidR="00BB5778">
              <w:rPr>
                <w:rFonts w:ascii="Arial" w:eastAsia="Arial" w:hAnsi="Arial" w:cs="Arial"/>
                <w:b/>
                <w:bCs/>
                <w:sz w:val="20"/>
                <w:szCs w:val="20"/>
              </w:rPr>
              <w:t>criterion</w:t>
            </w:r>
            <w:r w:rsidRPr="004A4ADC">
              <w:rPr>
                <w:rFonts w:ascii="Arial" w:eastAsia="Arial" w:hAnsi="Arial" w:cs="Arial"/>
                <w:b/>
                <w:bCs/>
                <w:sz w:val="20"/>
                <w:szCs w:val="20"/>
              </w:rPr>
              <w:t xml:space="preserve"> –  </w:t>
            </w:r>
            <w:r w:rsidR="00BB5778" w:rsidRPr="00BB5778">
              <w:rPr>
                <w:rFonts w:ascii="Arial" w:eastAsia="Arial" w:hAnsi="Arial" w:cs="Arial"/>
                <w:b/>
                <w:bCs/>
                <w:sz w:val="20"/>
                <w:szCs w:val="20"/>
              </w:rPr>
              <w:t xml:space="preserve">Social security measure – supplementary health insurance </w:t>
            </w:r>
            <w:r>
              <w:rPr>
                <w:rFonts w:ascii="Arial" w:eastAsia="Arial" w:hAnsi="Arial" w:cs="Arial"/>
                <w:b/>
                <w:bCs/>
                <w:iCs/>
                <w:sz w:val="20"/>
                <w:szCs w:val="20"/>
              </w:rPr>
              <w:t>(</w:t>
            </w:r>
            <w:r w:rsidRPr="002F2E18">
              <w:rPr>
                <w:rFonts w:ascii="Arial" w:eastAsia="Arial" w:hAnsi="Arial" w:cs="Arial"/>
                <w:b/>
                <w:bCs/>
                <w:iCs/>
                <w:sz w:val="20"/>
                <w:szCs w:val="20"/>
              </w:rPr>
              <w:t>T)</w:t>
            </w:r>
          </w:p>
          <w:p w14:paraId="4D733EC2" w14:textId="275D0D15" w:rsidR="00041D39" w:rsidRDefault="00AF2618" w:rsidP="00AF4C5F">
            <w:pPr>
              <w:keepNext/>
              <w:spacing w:before="240" w:after="60"/>
              <w:jc w:val="both"/>
              <w:outlineLvl w:val="0"/>
              <w:rPr>
                <w:rFonts w:ascii="Arial" w:eastAsia="Arial" w:hAnsi="Arial" w:cs="Arial"/>
                <w:sz w:val="20"/>
                <w:szCs w:val="20"/>
              </w:rPr>
            </w:pPr>
            <w:r w:rsidRPr="00AF2618">
              <w:rPr>
                <w:rFonts w:ascii="Arial" w:eastAsia="Arial" w:hAnsi="Arial" w:cs="Arial"/>
                <w:sz w:val="20"/>
                <w:szCs w:val="20"/>
              </w:rPr>
              <w:t>During the period of performance of the contract, the Service Provider shall insure the employees directly performing the purchase contract with additional health insurance, which includes outpatient treatment, diagnostics and treatment of critical illnesses, and/or dentistry and/or preventive health examinations, vaccinations and/or medical services and/or individual consultations with a psychiatrist and psychotherapist.</w:t>
            </w:r>
          </w:p>
          <w:p w14:paraId="598BF45D" w14:textId="5F29AC46" w:rsidR="00041D39" w:rsidRDefault="00300E93" w:rsidP="00AF4C5F">
            <w:pPr>
              <w:keepNext/>
              <w:spacing w:before="240" w:after="60"/>
              <w:jc w:val="both"/>
              <w:outlineLvl w:val="0"/>
              <w:rPr>
                <w:rFonts w:ascii="Arial" w:eastAsia="Arial" w:hAnsi="Arial" w:cs="Arial"/>
                <w:sz w:val="20"/>
                <w:szCs w:val="20"/>
              </w:rPr>
            </w:pPr>
            <w:r>
              <w:rPr>
                <w:rFonts w:ascii="Arial" w:eastAsia="Arial" w:hAnsi="Arial" w:cs="Arial"/>
                <w:sz w:val="20"/>
                <w:szCs w:val="20"/>
              </w:rPr>
              <w:t>A f</w:t>
            </w:r>
            <w:r w:rsidRPr="00300E93">
              <w:rPr>
                <w:rFonts w:ascii="Arial" w:eastAsia="Arial" w:hAnsi="Arial" w:cs="Arial"/>
                <w:sz w:val="20"/>
                <w:szCs w:val="20"/>
              </w:rPr>
              <w:t>ill</w:t>
            </w:r>
            <w:r>
              <w:rPr>
                <w:rFonts w:ascii="Arial" w:eastAsia="Arial" w:hAnsi="Arial" w:cs="Arial"/>
                <w:sz w:val="20"/>
                <w:szCs w:val="20"/>
              </w:rPr>
              <w:t>ed</w:t>
            </w:r>
            <w:r w:rsidRPr="00300E93">
              <w:rPr>
                <w:rFonts w:ascii="Arial" w:eastAsia="Arial" w:hAnsi="Arial" w:cs="Arial"/>
                <w:sz w:val="20"/>
                <w:szCs w:val="20"/>
              </w:rPr>
              <w:t xml:space="preserve"> in Annex No. </w:t>
            </w:r>
            <w:r w:rsidR="001E2A02">
              <w:rPr>
                <w:rFonts w:ascii="Arial" w:eastAsia="Arial" w:hAnsi="Arial" w:cs="Arial"/>
                <w:sz w:val="20"/>
                <w:szCs w:val="20"/>
              </w:rPr>
              <w:t>4</w:t>
            </w:r>
            <w:r w:rsidRPr="00300E93">
              <w:rPr>
                <w:rFonts w:ascii="Arial" w:eastAsia="Arial" w:hAnsi="Arial" w:cs="Arial"/>
                <w:sz w:val="20"/>
                <w:szCs w:val="20"/>
              </w:rPr>
              <w:t xml:space="preserve"> of the </w:t>
            </w:r>
            <w:r>
              <w:rPr>
                <w:rFonts w:ascii="Arial" w:eastAsia="Arial" w:hAnsi="Arial" w:cs="Arial"/>
                <w:sz w:val="20"/>
                <w:szCs w:val="20"/>
              </w:rPr>
              <w:t>tender</w:t>
            </w:r>
            <w:r w:rsidRPr="00300E93">
              <w:rPr>
                <w:rFonts w:ascii="Arial" w:eastAsia="Arial" w:hAnsi="Arial" w:cs="Arial"/>
                <w:sz w:val="20"/>
                <w:szCs w:val="20"/>
              </w:rPr>
              <w:t xml:space="preserve"> form</w:t>
            </w:r>
            <w:r w:rsidR="00041D39" w:rsidRPr="006875B0">
              <w:rPr>
                <w:rFonts w:ascii="Arial" w:eastAsia="Arial" w:hAnsi="Arial" w:cs="Arial"/>
                <w:sz w:val="20"/>
                <w:szCs w:val="20"/>
              </w:rPr>
              <w:t>.</w:t>
            </w:r>
          </w:p>
          <w:p w14:paraId="692A7065" w14:textId="624723E9" w:rsidR="00041D39" w:rsidRPr="007867FA" w:rsidRDefault="00871E2A" w:rsidP="00AF4C5F">
            <w:pPr>
              <w:keepNext/>
              <w:spacing w:before="240" w:after="60"/>
              <w:jc w:val="both"/>
              <w:outlineLvl w:val="0"/>
              <w:rPr>
                <w:rFonts w:ascii="Arial" w:eastAsia="Arial" w:hAnsi="Arial" w:cs="Arial"/>
                <w:sz w:val="20"/>
                <w:szCs w:val="20"/>
                <w:lang w:val="en-US"/>
              </w:rPr>
            </w:pPr>
            <w:r w:rsidRPr="00871E2A">
              <w:rPr>
                <w:rFonts w:ascii="Arial" w:eastAsia="Arial" w:hAnsi="Arial" w:cs="Arial"/>
                <w:sz w:val="20"/>
                <w:szCs w:val="20"/>
              </w:rPr>
              <w:t>The supplier shall submit a valid contract for additional health insurance, or an equivalent document (certificate from the insurance company, etc.) within 10 working days after signing the contract. The supplier shall submit the aforementioned document once a year during the validity period of the contract.</w:t>
            </w:r>
          </w:p>
        </w:tc>
        <w:tc>
          <w:tcPr>
            <w:tcW w:w="1030" w:type="pct"/>
            <w:tcBorders>
              <w:top w:val="single" w:sz="4" w:space="0" w:color="auto"/>
              <w:left w:val="single" w:sz="4" w:space="0" w:color="auto"/>
              <w:bottom w:val="single" w:sz="4" w:space="0" w:color="auto"/>
              <w:right w:val="single" w:sz="4" w:space="0" w:color="auto"/>
            </w:tcBorders>
            <w:vAlign w:val="center"/>
          </w:tcPr>
          <w:p w14:paraId="1C26C004" w14:textId="77777777" w:rsidR="00041D39" w:rsidRPr="004A4ADC" w:rsidRDefault="00041D39" w:rsidP="00AF4C5F">
            <w:pPr>
              <w:keepNext/>
              <w:jc w:val="center"/>
              <w:outlineLvl w:val="0"/>
              <w:rPr>
                <w:rFonts w:ascii="Arial" w:eastAsia="Arial" w:hAnsi="Arial" w:cs="Arial"/>
                <w:b/>
                <w:bCs/>
                <w:sz w:val="20"/>
                <w:szCs w:val="20"/>
              </w:rPr>
            </w:pPr>
          </w:p>
        </w:tc>
        <w:tc>
          <w:tcPr>
            <w:tcW w:w="1267" w:type="pct"/>
            <w:tcBorders>
              <w:top w:val="single" w:sz="4" w:space="0" w:color="auto"/>
              <w:left w:val="single" w:sz="4" w:space="0" w:color="auto"/>
              <w:bottom w:val="single" w:sz="4" w:space="0" w:color="auto"/>
              <w:right w:val="single" w:sz="4" w:space="0" w:color="auto"/>
            </w:tcBorders>
            <w:vAlign w:val="center"/>
            <w:hideMark/>
          </w:tcPr>
          <w:p w14:paraId="15A10D75" w14:textId="77777777" w:rsidR="00041D39" w:rsidRPr="004A4ADC" w:rsidRDefault="00041D39" w:rsidP="00AF4C5F">
            <w:pPr>
              <w:jc w:val="center"/>
              <w:rPr>
                <w:rFonts w:ascii="Arial" w:hAnsi="Arial" w:cs="Arial"/>
                <w:sz w:val="20"/>
                <w:szCs w:val="20"/>
              </w:rPr>
            </w:pPr>
            <w:r>
              <w:rPr>
                <w:rFonts w:ascii="Arial" w:hAnsi="Arial" w:cs="Arial"/>
                <w:sz w:val="20"/>
                <w:szCs w:val="20"/>
              </w:rPr>
              <w:t>Y = 10</w:t>
            </w:r>
          </w:p>
        </w:tc>
      </w:tr>
    </w:tbl>
    <w:p w14:paraId="07524EFB" w14:textId="77777777" w:rsidR="00041D39" w:rsidRPr="00DD0856" w:rsidRDefault="00041D39" w:rsidP="00041D39">
      <w:pPr>
        <w:keepNext/>
        <w:tabs>
          <w:tab w:val="left" w:pos="284"/>
          <w:tab w:val="left" w:pos="426"/>
          <w:tab w:val="left" w:pos="709"/>
          <w:tab w:val="left" w:pos="851"/>
        </w:tabs>
        <w:spacing w:before="60" w:after="60"/>
        <w:jc w:val="both"/>
        <w:outlineLvl w:val="1"/>
        <w:rPr>
          <w:rFonts w:cs="Arial"/>
          <w:bCs/>
          <w:iCs/>
          <w:sz w:val="20"/>
          <w:szCs w:val="20"/>
        </w:rPr>
      </w:pPr>
    </w:p>
    <w:p w14:paraId="7BAC9DAA" w14:textId="4C843344" w:rsidR="00041D39" w:rsidRPr="00BA0BB4" w:rsidRDefault="00041D39" w:rsidP="00041D39">
      <w:pPr>
        <w:pStyle w:val="ListParagraph"/>
        <w:tabs>
          <w:tab w:val="left" w:pos="426"/>
        </w:tabs>
        <w:ind w:left="0"/>
        <w:jc w:val="both"/>
        <w:rPr>
          <w:rFonts w:ascii="Arial" w:eastAsia="Arial" w:hAnsi="Arial" w:cs="Arial"/>
          <w:sz w:val="20"/>
          <w:szCs w:val="20"/>
        </w:rPr>
      </w:pPr>
      <w:r w:rsidRPr="00BA0BB4">
        <w:rPr>
          <w:rFonts w:ascii="Arial" w:eastAsia="Arial" w:hAnsi="Arial" w:cs="Arial"/>
          <w:sz w:val="20"/>
          <w:szCs w:val="20"/>
        </w:rPr>
        <w:t xml:space="preserve">2. </w:t>
      </w:r>
      <w:r w:rsidR="007867FA" w:rsidRPr="007867FA">
        <w:rPr>
          <w:rFonts w:ascii="Arial" w:eastAsia="Arial" w:hAnsi="Arial" w:cs="Arial"/>
          <w:sz w:val="20"/>
          <w:szCs w:val="20"/>
        </w:rPr>
        <w:t>The economic efficiency (</w:t>
      </w:r>
      <w:r w:rsidR="007867FA">
        <w:rPr>
          <w:rFonts w:ascii="Arial" w:eastAsia="Arial" w:hAnsi="Arial" w:cs="Arial"/>
          <w:sz w:val="20"/>
          <w:szCs w:val="20"/>
        </w:rPr>
        <w:t>S</w:t>
      </w:r>
      <w:r w:rsidR="007867FA" w:rsidRPr="007867FA">
        <w:rPr>
          <w:rFonts w:ascii="Arial" w:eastAsia="Arial" w:hAnsi="Arial" w:cs="Arial"/>
          <w:sz w:val="20"/>
          <w:szCs w:val="20"/>
        </w:rPr>
        <w:t xml:space="preserve">) points of the </w:t>
      </w:r>
      <w:r w:rsidR="007867FA">
        <w:rPr>
          <w:rFonts w:ascii="Arial" w:eastAsia="Arial" w:hAnsi="Arial" w:cs="Arial"/>
          <w:sz w:val="20"/>
          <w:szCs w:val="20"/>
        </w:rPr>
        <w:t>tender</w:t>
      </w:r>
      <w:r w:rsidR="007867FA" w:rsidRPr="007867FA">
        <w:rPr>
          <w:rFonts w:ascii="Arial" w:eastAsia="Arial" w:hAnsi="Arial" w:cs="Arial"/>
          <w:sz w:val="20"/>
          <w:szCs w:val="20"/>
        </w:rPr>
        <w:t xml:space="preserve"> will be calculated by adding the points of the </w:t>
      </w:r>
      <w:r w:rsidR="007867FA">
        <w:rPr>
          <w:rFonts w:ascii="Arial" w:eastAsia="Arial" w:hAnsi="Arial" w:cs="Arial"/>
          <w:sz w:val="20"/>
          <w:szCs w:val="20"/>
        </w:rPr>
        <w:t>tender</w:t>
      </w:r>
      <w:r w:rsidR="007867FA" w:rsidRPr="007867FA">
        <w:rPr>
          <w:rFonts w:ascii="Arial" w:eastAsia="Arial" w:hAnsi="Arial" w:cs="Arial"/>
          <w:sz w:val="20"/>
          <w:szCs w:val="20"/>
        </w:rPr>
        <w:t xml:space="preserve"> price (</w:t>
      </w:r>
      <w:r w:rsidR="007867FA">
        <w:rPr>
          <w:rFonts w:ascii="Arial" w:eastAsia="Arial" w:hAnsi="Arial" w:cs="Arial"/>
          <w:sz w:val="20"/>
          <w:szCs w:val="20"/>
        </w:rPr>
        <w:t>C)</w:t>
      </w:r>
      <w:r w:rsidR="007867FA" w:rsidRPr="007867FA">
        <w:rPr>
          <w:rFonts w:ascii="Arial" w:eastAsia="Arial" w:hAnsi="Arial" w:cs="Arial"/>
          <w:sz w:val="20"/>
          <w:szCs w:val="20"/>
        </w:rPr>
        <w:t xml:space="preserve"> and the </w:t>
      </w:r>
      <w:r w:rsidR="007867FA">
        <w:rPr>
          <w:rFonts w:ascii="Arial" w:eastAsia="Arial" w:hAnsi="Arial" w:cs="Arial"/>
          <w:sz w:val="20"/>
          <w:szCs w:val="20"/>
        </w:rPr>
        <w:t xml:space="preserve">points of </w:t>
      </w:r>
      <w:r w:rsidR="007867FA" w:rsidRPr="007867FA">
        <w:rPr>
          <w:rFonts w:ascii="Arial" w:eastAsia="Arial" w:hAnsi="Arial" w:cs="Arial"/>
          <w:sz w:val="20"/>
          <w:szCs w:val="20"/>
        </w:rPr>
        <w:t>social security measure - additional health insurance (T)).</w:t>
      </w:r>
      <w:r w:rsidRPr="00BA0BB4">
        <w:rPr>
          <w:rFonts w:ascii="Arial" w:eastAsia="Arial" w:hAnsi="Arial" w:cs="Arial"/>
          <w:sz w:val="20"/>
          <w:szCs w:val="20"/>
        </w:rPr>
        <w:t>:</w:t>
      </w:r>
    </w:p>
    <w:p w14:paraId="28298296" w14:textId="77777777" w:rsidR="00041D39" w:rsidRPr="00DD0856" w:rsidRDefault="00041D39" w:rsidP="00041D39">
      <w:pPr>
        <w:keepNext/>
        <w:tabs>
          <w:tab w:val="left" w:pos="284"/>
          <w:tab w:val="left" w:pos="426"/>
          <w:tab w:val="left" w:pos="709"/>
          <w:tab w:val="left" w:pos="851"/>
        </w:tabs>
        <w:ind w:hanging="720"/>
        <w:outlineLvl w:val="1"/>
        <w:rPr>
          <w:rFonts w:cs="Arial"/>
          <w:sz w:val="20"/>
          <w:szCs w:val="20"/>
        </w:rPr>
      </w:pPr>
      <w:r w:rsidRPr="00DD0856">
        <w:rPr>
          <w:rFonts w:cs="Arial"/>
          <w:sz w:val="20"/>
          <w:szCs w:val="20"/>
        </w:rPr>
        <w:tab/>
      </w:r>
      <w:r w:rsidRPr="00DD0856">
        <w:rPr>
          <w:rFonts w:cs="Arial"/>
          <w:sz w:val="20"/>
          <w:szCs w:val="20"/>
        </w:rPr>
        <w:tab/>
      </w:r>
    </w:p>
    <w:p w14:paraId="5B8389D6" w14:textId="77777777" w:rsidR="00041D39" w:rsidRPr="00DD0856" w:rsidRDefault="00041D39" w:rsidP="00041D39">
      <w:pPr>
        <w:keepNext/>
        <w:tabs>
          <w:tab w:val="left" w:pos="284"/>
          <w:tab w:val="left" w:pos="426"/>
          <w:tab w:val="left" w:pos="709"/>
          <w:tab w:val="left" w:pos="851"/>
        </w:tabs>
        <w:ind w:firstLine="284"/>
        <w:outlineLvl w:val="1"/>
        <w:rPr>
          <w:rFonts w:cs="Arial"/>
          <w:sz w:val="20"/>
          <w:szCs w:val="20"/>
        </w:rPr>
      </w:pPr>
      <w:r>
        <w:rPr>
          <w:rFonts w:cs="Arial"/>
          <w:sz w:val="20"/>
          <w:szCs w:val="20"/>
        </w:rPr>
        <w:t xml:space="preserve">                  </w:t>
      </w:r>
      <w:r w:rsidRPr="00DD0856">
        <w:rPr>
          <w:rFonts w:cs="Arial"/>
          <w:position w:val="-6"/>
          <w:sz w:val="20"/>
          <w:szCs w:val="20"/>
        </w:rPr>
        <w:object w:dxaOrig="980" w:dyaOrig="279" w14:anchorId="18A688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95pt;height:15.65pt" o:ole="" fillcolor="window">
            <v:imagedata r:id="rId10" o:title=""/>
          </v:shape>
          <o:OLEObject Type="Embed" ProgID="Equation.3" ShapeID="_x0000_i1025" DrawAspect="Content" ObjectID="_1835508818" r:id="rId11"/>
        </w:object>
      </w:r>
    </w:p>
    <w:p w14:paraId="604BAC4F" w14:textId="77777777" w:rsidR="00041D39" w:rsidRPr="00DD0856" w:rsidRDefault="00041D39" w:rsidP="00041D39">
      <w:pPr>
        <w:keepNext/>
        <w:tabs>
          <w:tab w:val="left" w:pos="284"/>
          <w:tab w:val="left" w:pos="426"/>
          <w:tab w:val="left" w:pos="709"/>
          <w:tab w:val="left" w:pos="851"/>
        </w:tabs>
        <w:spacing w:before="60" w:after="60"/>
        <w:ind w:firstLine="1134"/>
        <w:jc w:val="both"/>
        <w:outlineLvl w:val="1"/>
        <w:rPr>
          <w:rFonts w:cs="Arial"/>
          <w:bCs/>
          <w:iCs/>
          <w:position w:val="-6"/>
          <w:sz w:val="20"/>
          <w:szCs w:val="20"/>
        </w:rPr>
      </w:pPr>
    </w:p>
    <w:p w14:paraId="521E3D2C" w14:textId="274820B1" w:rsidR="00041D39" w:rsidRPr="00BA0BB4" w:rsidRDefault="0089655E" w:rsidP="00041D39">
      <w:pPr>
        <w:pStyle w:val="ListParagraph"/>
        <w:numPr>
          <w:ilvl w:val="1"/>
          <w:numId w:val="5"/>
        </w:numPr>
        <w:tabs>
          <w:tab w:val="left" w:pos="426"/>
        </w:tabs>
        <w:ind w:left="0" w:firstLine="0"/>
        <w:jc w:val="both"/>
        <w:rPr>
          <w:rFonts w:ascii="Arial" w:eastAsia="Arial" w:hAnsi="Arial" w:cs="Arial"/>
          <w:sz w:val="20"/>
          <w:szCs w:val="20"/>
          <w:lang w:eastAsia="lt-LT"/>
        </w:rPr>
      </w:pPr>
      <w:r w:rsidRPr="0089655E">
        <w:rPr>
          <w:rFonts w:ascii="Arial" w:eastAsia="Arial" w:hAnsi="Arial" w:cs="Arial"/>
          <w:sz w:val="20"/>
          <w:szCs w:val="20"/>
          <w:lang w:eastAsia="lt-LT"/>
        </w:rPr>
        <w:t xml:space="preserve">The points for the </w:t>
      </w:r>
      <w:r>
        <w:rPr>
          <w:rFonts w:ascii="Arial" w:eastAsia="Arial" w:hAnsi="Arial" w:cs="Arial"/>
          <w:sz w:val="20"/>
          <w:szCs w:val="20"/>
          <w:lang w:eastAsia="lt-LT"/>
        </w:rPr>
        <w:t>tender</w:t>
      </w:r>
      <w:r w:rsidRPr="0089655E">
        <w:rPr>
          <w:rFonts w:ascii="Arial" w:eastAsia="Arial" w:hAnsi="Arial" w:cs="Arial"/>
          <w:sz w:val="20"/>
          <w:szCs w:val="20"/>
          <w:lang w:eastAsia="lt-LT"/>
        </w:rPr>
        <w:t xml:space="preserve"> </w:t>
      </w:r>
      <w:r>
        <w:rPr>
          <w:rFonts w:ascii="Arial" w:eastAsia="Arial" w:hAnsi="Arial" w:cs="Arial"/>
          <w:sz w:val="20"/>
          <w:szCs w:val="20"/>
          <w:lang w:eastAsia="lt-LT"/>
        </w:rPr>
        <w:t>p</w:t>
      </w:r>
      <w:r w:rsidRPr="0089655E">
        <w:rPr>
          <w:rFonts w:ascii="Arial" w:eastAsia="Arial" w:hAnsi="Arial" w:cs="Arial"/>
          <w:sz w:val="20"/>
          <w:szCs w:val="20"/>
          <w:lang w:eastAsia="lt-LT"/>
        </w:rPr>
        <w:t xml:space="preserve">rice criterion (C) are calculated by multiplying the ratio of the lowest </w:t>
      </w:r>
      <w:r>
        <w:rPr>
          <w:rFonts w:ascii="Arial" w:eastAsia="Arial" w:hAnsi="Arial" w:cs="Arial"/>
          <w:sz w:val="20"/>
          <w:szCs w:val="20"/>
          <w:lang w:eastAsia="lt-LT"/>
        </w:rPr>
        <w:t>tender</w:t>
      </w:r>
      <w:r w:rsidRPr="0089655E">
        <w:rPr>
          <w:rFonts w:ascii="Arial" w:eastAsia="Arial" w:hAnsi="Arial" w:cs="Arial"/>
          <w:sz w:val="20"/>
          <w:szCs w:val="20"/>
          <w:lang w:eastAsia="lt-LT"/>
        </w:rPr>
        <w:t xml:space="preserve"> Price (</w:t>
      </w:r>
      <w:r>
        <w:rPr>
          <w:rFonts w:ascii="Arial" w:eastAsia="Arial" w:hAnsi="Arial" w:cs="Arial"/>
          <w:sz w:val="20"/>
          <w:szCs w:val="20"/>
          <w:lang w:eastAsia="lt-LT"/>
        </w:rPr>
        <w:t>Cmin</w:t>
      </w:r>
      <w:r w:rsidRPr="0089655E">
        <w:rPr>
          <w:rFonts w:ascii="Arial" w:eastAsia="Arial" w:hAnsi="Arial" w:cs="Arial"/>
          <w:sz w:val="20"/>
          <w:szCs w:val="20"/>
          <w:lang w:eastAsia="lt-LT"/>
        </w:rPr>
        <w:t xml:space="preserve"> ) and the </w:t>
      </w:r>
      <w:r>
        <w:rPr>
          <w:rFonts w:ascii="Arial" w:eastAsia="Arial" w:hAnsi="Arial" w:cs="Arial"/>
          <w:sz w:val="20"/>
          <w:szCs w:val="20"/>
          <w:lang w:eastAsia="lt-LT"/>
        </w:rPr>
        <w:t>tender</w:t>
      </w:r>
      <w:r w:rsidRPr="0089655E">
        <w:rPr>
          <w:rFonts w:ascii="Arial" w:eastAsia="Arial" w:hAnsi="Arial" w:cs="Arial"/>
          <w:sz w:val="20"/>
          <w:szCs w:val="20"/>
          <w:lang w:eastAsia="lt-LT"/>
        </w:rPr>
        <w:t xml:space="preserve"> </w:t>
      </w:r>
      <w:r>
        <w:rPr>
          <w:rFonts w:ascii="Arial" w:eastAsia="Arial" w:hAnsi="Arial" w:cs="Arial"/>
          <w:sz w:val="20"/>
          <w:szCs w:val="20"/>
          <w:lang w:eastAsia="lt-LT"/>
        </w:rPr>
        <w:t>p</w:t>
      </w:r>
      <w:r w:rsidRPr="0089655E">
        <w:rPr>
          <w:rFonts w:ascii="Arial" w:eastAsia="Arial" w:hAnsi="Arial" w:cs="Arial"/>
          <w:sz w:val="20"/>
          <w:szCs w:val="20"/>
          <w:lang w:eastAsia="lt-LT"/>
        </w:rPr>
        <w:t>rice (</w:t>
      </w:r>
      <w:r>
        <w:rPr>
          <w:rFonts w:ascii="Arial" w:eastAsia="Arial" w:hAnsi="Arial" w:cs="Arial"/>
          <w:sz w:val="20"/>
          <w:szCs w:val="20"/>
          <w:lang w:eastAsia="lt-LT"/>
        </w:rPr>
        <w:t>Cp</w:t>
      </w:r>
      <w:r w:rsidRPr="0089655E">
        <w:rPr>
          <w:rFonts w:ascii="Arial" w:eastAsia="Arial" w:hAnsi="Arial" w:cs="Arial"/>
          <w:sz w:val="20"/>
          <w:szCs w:val="20"/>
          <w:lang w:eastAsia="lt-LT"/>
        </w:rPr>
        <w:t xml:space="preserve">) specified in the evaluated </w:t>
      </w:r>
      <w:r>
        <w:rPr>
          <w:rFonts w:ascii="Arial" w:eastAsia="Arial" w:hAnsi="Arial" w:cs="Arial"/>
          <w:sz w:val="20"/>
          <w:szCs w:val="20"/>
          <w:lang w:eastAsia="lt-LT"/>
        </w:rPr>
        <w:t>tender</w:t>
      </w:r>
      <w:r w:rsidRPr="0089655E">
        <w:rPr>
          <w:rFonts w:ascii="Arial" w:eastAsia="Arial" w:hAnsi="Arial" w:cs="Arial"/>
          <w:sz w:val="20"/>
          <w:szCs w:val="20"/>
          <w:lang w:eastAsia="lt-LT"/>
        </w:rPr>
        <w:t xml:space="preserve"> (provided by filling in the table in Annex No. 3 to the </w:t>
      </w:r>
      <w:r>
        <w:rPr>
          <w:rFonts w:ascii="Arial" w:eastAsia="Arial" w:hAnsi="Arial" w:cs="Arial"/>
          <w:sz w:val="20"/>
          <w:szCs w:val="20"/>
          <w:lang w:eastAsia="lt-LT"/>
        </w:rPr>
        <w:t>tender</w:t>
      </w:r>
      <w:r w:rsidRPr="0089655E">
        <w:rPr>
          <w:rFonts w:ascii="Arial" w:eastAsia="Arial" w:hAnsi="Arial" w:cs="Arial"/>
          <w:sz w:val="20"/>
          <w:szCs w:val="20"/>
          <w:lang w:eastAsia="lt-LT"/>
        </w:rPr>
        <w:t xml:space="preserve"> Form) by the comparative weight of the price criterion (</w:t>
      </w:r>
      <w:r>
        <w:rPr>
          <w:rFonts w:ascii="Arial" w:eastAsia="Arial" w:hAnsi="Arial" w:cs="Arial"/>
          <w:sz w:val="20"/>
          <w:szCs w:val="20"/>
          <w:lang w:eastAsia="lt-LT"/>
        </w:rPr>
        <w:t>X</w:t>
      </w:r>
      <w:r w:rsidRPr="0089655E">
        <w:rPr>
          <w:rFonts w:ascii="Arial" w:eastAsia="Arial" w:hAnsi="Arial" w:cs="Arial"/>
          <w:sz w:val="20"/>
          <w:szCs w:val="20"/>
          <w:lang w:eastAsia="lt-LT"/>
        </w:rPr>
        <w:t>), rounding the resulting number to the nearest hundredth:</w:t>
      </w:r>
    </w:p>
    <w:p w14:paraId="6D1D9F18" w14:textId="77777777" w:rsidR="00041D39" w:rsidRPr="00DD0856" w:rsidRDefault="00041D39" w:rsidP="00041D39">
      <w:pPr>
        <w:pStyle w:val="ListParagraph"/>
        <w:tabs>
          <w:tab w:val="left" w:pos="426"/>
        </w:tabs>
        <w:ind w:left="0"/>
        <w:jc w:val="both"/>
        <w:rPr>
          <w:rFonts w:eastAsia="Arial" w:cs="Arial"/>
          <w:sz w:val="20"/>
          <w:szCs w:val="20"/>
          <w:lang w:eastAsia="lt-LT"/>
        </w:rPr>
      </w:pPr>
    </w:p>
    <w:p w14:paraId="246D3AF4" w14:textId="77777777" w:rsidR="00041D39" w:rsidRPr="00DD0856" w:rsidRDefault="00041D39" w:rsidP="00041D39">
      <w:pPr>
        <w:tabs>
          <w:tab w:val="left" w:pos="284"/>
          <w:tab w:val="left" w:pos="709"/>
        </w:tabs>
        <w:spacing w:before="60" w:after="60"/>
        <w:ind w:firstLine="1134"/>
        <w:jc w:val="both"/>
        <w:rPr>
          <w:rFonts w:cs="Arial"/>
          <w:position w:val="-32"/>
          <w:sz w:val="20"/>
          <w:szCs w:val="20"/>
        </w:rPr>
      </w:pPr>
      <w:r w:rsidRPr="00DD0856">
        <w:rPr>
          <w:rFonts w:cs="Arial"/>
          <w:position w:val="-32"/>
          <w:sz w:val="20"/>
          <w:szCs w:val="20"/>
        </w:rPr>
        <w:object w:dxaOrig="1275" w:dyaOrig="690" w14:anchorId="6223ABB0">
          <v:shape id="_x0000_i1026" type="#_x0000_t75" style="width:67pt;height:35.7pt" o:ole="" fillcolor="window">
            <v:imagedata r:id="rId12" o:title=""/>
          </v:shape>
          <o:OLEObject Type="Embed" ProgID="Equation.3" ShapeID="_x0000_i1026" DrawAspect="Content" ObjectID="_1835508819" r:id="rId13"/>
        </w:object>
      </w:r>
    </w:p>
    <w:p w14:paraId="0D7B7763" w14:textId="1F178DBB" w:rsidR="00041D39" w:rsidRPr="00D15128" w:rsidRDefault="00887860" w:rsidP="00041D39">
      <w:pPr>
        <w:numPr>
          <w:ilvl w:val="1"/>
          <w:numId w:val="5"/>
        </w:numPr>
        <w:tabs>
          <w:tab w:val="left" w:pos="0"/>
          <w:tab w:val="left" w:pos="426"/>
          <w:tab w:val="left" w:pos="567"/>
        </w:tabs>
        <w:spacing w:before="60" w:after="60" w:line="240" w:lineRule="auto"/>
        <w:ind w:left="0" w:firstLine="0"/>
        <w:contextualSpacing/>
        <w:jc w:val="both"/>
        <w:rPr>
          <w:rFonts w:ascii="Arial" w:eastAsia="Arial" w:hAnsi="Arial" w:cs="Arial"/>
          <w:sz w:val="20"/>
          <w:szCs w:val="20"/>
        </w:rPr>
      </w:pPr>
      <w:r w:rsidRPr="00887860">
        <w:rPr>
          <w:rFonts w:ascii="Arial" w:eastAsia="Arial" w:hAnsi="Arial" w:cs="Arial"/>
          <w:sz w:val="20"/>
          <w:szCs w:val="20"/>
        </w:rPr>
        <w:t>Criterion (T) scores are awarded as follows:</w:t>
      </w:r>
    </w:p>
    <w:p w14:paraId="549FD526" w14:textId="7014A7FA" w:rsidR="00041D39" w:rsidRPr="006C5B89" w:rsidRDefault="00576C6B" w:rsidP="00041D39">
      <w:pPr>
        <w:pStyle w:val="ListParagraph"/>
        <w:numPr>
          <w:ilvl w:val="2"/>
          <w:numId w:val="5"/>
        </w:numPr>
        <w:tabs>
          <w:tab w:val="left" w:pos="0"/>
          <w:tab w:val="left" w:pos="567"/>
        </w:tabs>
        <w:ind w:left="0" w:firstLine="0"/>
        <w:jc w:val="both"/>
        <w:rPr>
          <w:rFonts w:ascii="Arial" w:eastAsia="Arial" w:hAnsi="Arial" w:cs="Arial"/>
          <w:sz w:val="20"/>
          <w:szCs w:val="20"/>
          <w:lang w:val="en-US"/>
        </w:rPr>
      </w:pPr>
      <w:r w:rsidRPr="00576C6B">
        <w:rPr>
          <w:rFonts w:ascii="Arial" w:eastAsia="Arial" w:hAnsi="Arial" w:cs="Arial"/>
          <w:sz w:val="20"/>
          <w:szCs w:val="20"/>
          <w:lang w:val="en-US"/>
        </w:rPr>
        <w:t xml:space="preserve">If the Supplier notes in Annex </w:t>
      </w:r>
      <w:r>
        <w:rPr>
          <w:rFonts w:ascii="Arial" w:eastAsia="Arial" w:hAnsi="Arial" w:cs="Arial"/>
          <w:sz w:val="20"/>
          <w:szCs w:val="20"/>
          <w:lang w:val="en-US"/>
        </w:rPr>
        <w:t>No</w:t>
      </w:r>
      <w:r w:rsidRPr="00576C6B">
        <w:rPr>
          <w:rFonts w:ascii="Arial" w:eastAsia="Arial" w:hAnsi="Arial" w:cs="Arial"/>
          <w:sz w:val="20"/>
          <w:szCs w:val="20"/>
          <w:lang w:val="en-US"/>
        </w:rPr>
        <w:t xml:space="preserve"> 5 of the </w:t>
      </w:r>
      <w:r>
        <w:rPr>
          <w:rFonts w:ascii="Arial" w:eastAsia="Arial" w:hAnsi="Arial" w:cs="Arial"/>
          <w:sz w:val="20"/>
          <w:szCs w:val="20"/>
          <w:lang w:val="en-US"/>
        </w:rPr>
        <w:t>tender</w:t>
      </w:r>
      <w:r w:rsidRPr="00576C6B">
        <w:rPr>
          <w:rFonts w:ascii="Arial" w:eastAsia="Arial" w:hAnsi="Arial" w:cs="Arial"/>
          <w:sz w:val="20"/>
          <w:szCs w:val="20"/>
          <w:lang w:val="en-US"/>
        </w:rPr>
        <w:t xml:space="preserve"> form that during the period of performance of the Contract, the Supplier insures employees directly performing the contract with additional health insurance, 10 </w:t>
      </w:r>
      <w:r w:rsidRPr="00576C6B">
        <w:rPr>
          <w:rFonts w:ascii="Arial" w:eastAsia="Arial" w:hAnsi="Arial" w:cs="Arial"/>
          <w:sz w:val="20"/>
          <w:szCs w:val="20"/>
          <w:lang w:val="en-US"/>
        </w:rPr>
        <w:lastRenderedPageBreak/>
        <w:t>points are awarded, and if it notes that it does not insure employees with additional health insurance, 0 points are awarded.</w:t>
      </w:r>
    </w:p>
    <w:p w14:paraId="12C0F7E3" w14:textId="77777777" w:rsidR="00041D39" w:rsidRPr="00D15128" w:rsidRDefault="00041D39" w:rsidP="00041D39">
      <w:pPr>
        <w:pStyle w:val="ListParagraph"/>
        <w:tabs>
          <w:tab w:val="left" w:pos="0"/>
          <w:tab w:val="left" w:pos="567"/>
        </w:tabs>
        <w:jc w:val="both"/>
        <w:rPr>
          <w:rFonts w:ascii="Arial" w:eastAsia="Arial" w:hAnsi="Arial" w:cs="Arial"/>
          <w:sz w:val="20"/>
          <w:szCs w:val="20"/>
          <w:lang w:val="en-US"/>
        </w:rPr>
      </w:pPr>
    </w:p>
    <w:p w14:paraId="0FF27438" w14:textId="77777777" w:rsidR="00041D39" w:rsidRPr="00C955F7" w:rsidRDefault="00041D39" w:rsidP="00041D39">
      <w:pPr>
        <w:pStyle w:val="ListParagraph"/>
        <w:numPr>
          <w:ilvl w:val="2"/>
          <w:numId w:val="5"/>
        </w:numPr>
        <w:tabs>
          <w:tab w:val="left" w:pos="0"/>
          <w:tab w:val="left" w:pos="567"/>
        </w:tabs>
        <w:jc w:val="both"/>
        <w:rPr>
          <w:rFonts w:ascii="Arial" w:eastAsia="Arial" w:hAnsi="Arial" w:cs="Arial"/>
          <w:sz w:val="20"/>
          <w:szCs w:val="20"/>
          <w:lang w:val="en-US"/>
        </w:rPr>
      </w:pPr>
      <w:r>
        <w:rPr>
          <w:rFonts w:ascii="Arial" w:eastAsia="Arial" w:hAnsi="Arial" w:cs="Arial"/>
          <w:sz w:val="20"/>
          <w:szCs w:val="20"/>
          <w:lang w:val="en-US"/>
        </w:rPr>
        <w:t>T=Y</w:t>
      </w:r>
    </w:p>
    <w:p w14:paraId="63613706" w14:textId="5BF11212" w:rsidR="00041D39" w:rsidRPr="00F926D5" w:rsidRDefault="00041D39" w:rsidP="00041D39">
      <w:pPr>
        <w:tabs>
          <w:tab w:val="left" w:pos="426"/>
        </w:tabs>
        <w:spacing w:before="60" w:after="60"/>
        <w:rPr>
          <w:rFonts w:ascii="Arial" w:hAnsi="Arial" w:cs="Arial"/>
          <w:sz w:val="20"/>
          <w:lang w:eastAsia="lt-LT"/>
        </w:rPr>
      </w:pPr>
      <w:r>
        <w:rPr>
          <w:rFonts w:ascii="Arial" w:hAnsi="Arial" w:cs="Arial"/>
          <w:sz w:val="20"/>
          <w:lang w:val="en-US" w:eastAsia="lt-LT"/>
        </w:rPr>
        <w:t xml:space="preserve">3. </w:t>
      </w:r>
      <w:r w:rsidR="00437D80" w:rsidRPr="00437D80">
        <w:rPr>
          <w:rFonts w:ascii="Arial" w:hAnsi="Arial" w:cs="Arial"/>
          <w:sz w:val="20"/>
          <w:lang w:eastAsia="lt-LT"/>
        </w:rPr>
        <w:t xml:space="preserve">The Final </w:t>
      </w:r>
      <w:r w:rsidR="00437D80">
        <w:rPr>
          <w:rFonts w:ascii="Arial" w:hAnsi="Arial" w:cs="Arial"/>
          <w:sz w:val="20"/>
          <w:lang w:eastAsia="lt-LT"/>
        </w:rPr>
        <w:t>tender</w:t>
      </w:r>
      <w:r w:rsidR="00437D80" w:rsidRPr="00437D80">
        <w:rPr>
          <w:rFonts w:ascii="Arial" w:hAnsi="Arial" w:cs="Arial"/>
          <w:sz w:val="20"/>
          <w:lang w:eastAsia="lt-LT"/>
        </w:rPr>
        <w:t xml:space="preserve"> with the highest score will be recognized as the most economically advantageous.</w:t>
      </w:r>
      <w:r w:rsidRPr="00F926D5">
        <w:rPr>
          <w:rFonts w:ascii="Arial" w:hAnsi="Arial" w:cs="Arial"/>
          <w:sz w:val="20"/>
          <w:lang w:eastAsia="lt-LT"/>
        </w:rPr>
        <w:t>.</w:t>
      </w:r>
    </w:p>
    <w:p w14:paraId="2388C13D" w14:textId="77777777" w:rsidR="00041D39" w:rsidRDefault="00041D39" w:rsidP="00041D39">
      <w:pPr>
        <w:spacing w:after="200" w:line="276" w:lineRule="auto"/>
        <w:rPr>
          <w:rFonts w:ascii="Arial" w:hAnsi="Arial" w:cs="Arial"/>
          <w:sz w:val="20"/>
          <w:szCs w:val="20"/>
        </w:rPr>
      </w:pPr>
    </w:p>
    <w:p w14:paraId="506A15C1" w14:textId="77777777" w:rsidR="00041D39" w:rsidRDefault="00041D39" w:rsidP="00041D39">
      <w:pPr>
        <w:tabs>
          <w:tab w:val="left" w:pos="480"/>
        </w:tabs>
        <w:spacing w:after="0" w:line="240" w:lineRule="auto"/>
        <w:jc w:val="center"/>
      </w:pPr>
    </w:p>
    <w:p w14:paraId="7C6DB07A" w14:textId="77777777" w:rsidR="00DE621D" w:rsidRDefault="00DE621D" w:rsidP="00197F1B"/>
    <w:sectPr w:rsidR="00DE621D">
      <w:headerReference w:type="default" r:id="rId1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01C07" w14:textId="77777777" w:rsidR="00D2012B" w:rsidRDefault="00D2012B" w:rsidP="00197F1B">
      <w:pPr>
        <w:spacing w:after="0" w:line="240" w:lineRule="auto"/>
      </w:pPr>
      <w:r>
        <w:separator/>
      </w:r>
    </w:p>
  </w:endnote>
  <w:endnote w:type="continuationSeparator" w:id="0">
    <w:p w14:paraId="0E91466B" w14:textId="77777777" w:rsidR="00D2012B" w:rsidRDefault="00D2012B" w:rsidP="00197F1B">
      <w:pPr>
        <w:spacing w:after="0" w:line="240" w:lineRule="auto"/>
      </w:pPr>
      <w:r>
        <w:continuationSeparator/>
      </w:r>
    </w:p>
  </w:endnote>
  <w:endnote w:type="continuationNotice" w:id="1">
    <w:p w14:paraId="2555714E" w14:textId="77777777" w:rsidR="00D2012B" w:rsidRDefault="00D201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6893CA" w14:textId="77777777" w:rsidR="00D2012B" w:rsidRDefault="00D2012B" w:rsidP="00197F1B">
      <w:pPr>
        <w:spacing w:after="0" w:line="240" w:lineRule="auto"/>
      </w:pPr>
      <w:r>
        <w:separator/>
      </w:r>
    </w:p>
  </w:footnote>
  <w:footnote w:type="continuationSeparator" w:id="0">
    <w:p w14:paraId="7393EC9B" w14:textId="77777777" w:rsidR="00D2012B" w:rsidRDefault="00D2012B" w:rsidP="00197F1B">
      <w:pPr>
        <w:spacing w:after="0" w:line="240" w:lineRule="auto"/>
      </w:pPr>
      <w:r>
        <w:continuationSeparator/>
      </w:r>
    </w:p>
  </w:footnote>
  <w:footnote w:type="continuationNotice" w:id="1">
    <w:p w14:paraId="5EEFC0A6" w14:textId="77777777" w:rsidR="00D2012B" w:rsidRDefault="00D2012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C9B8D" w14:textId="5A97E293" w:rsidR="00B704B5" w:rsidRPr="00B704B5" w:rsidRDefault="00783A65" w:rsidP="00783A65">
    <w:pPr>
      <w:spacing w:after="0" w:line="240" w:lineRule="auto"/>
      <w:jc w:val="right"/>
      <w:rPr>
        <w:rFonts w:ascii="Arial" w:hAnsi="Arial" w:cs="Arial"/>
        <w:i/>
        <w:iCs/>
        <w:sz w:val="16"/>
        <w:szCs w:val="16"/>
      </w:rPr>
    </w:pPr>
    <w:r>
      <w:rPr>
        <w:rFonts w:ascii="Arial" w:hAnsi="Arial" w:cs="Arial"/>
        <w:i/>
        <w:iCs/>
        <w:sz w:val="16"/>
        <w:szCs w:val="16"/>
      </w:rPr>
      <w:t>Annes no 4 to the SPC</w:t>
    </w:r>
  </w:p>
  <w:p w14:paraId="1C752163" w14:textId="77777777" w:rsidR="00C63FDD" w:rsidRDefault="00C63FDD">
    <w:pPr>
      <w:pStyle w:val="Header"/>
    </w:pPr>
  </w:p>
  <w:p w14:paraId="6EBC011D" w14:textId="36027551" w:rsidR="00197F1B" w:rsidRPr="00C63FDD" w:rsidRDefault="00197F1B">
    <w:pPr>
      <w:pStyle w:val="Header"/>
      <w:rPr>
        <w:rFonts w:ascii="Arial" w:hAnsi="Arial" w:cs="Arial"/>
        <w:i/>
        <w:iCs/>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15AA5D8B"/>
    <w:multiLevelType w:val="hybridMultilevel"/>
    <w:tmpl w:val="110E9CB2"/>
    <w:lvl w:ilvl="0" w:tplc="E13C3542">
      <w:start w:val="1"/>
      <w:numFmt w:val="decimal"/>
      <w:lvlText w:val="%1."/>
      <w:lvlJc w:val="left"/>
      <w:pPr>
        <w:ind w:left="720" w:hanging="360"/>
      </w:pPr>
      <w:rPr>
        <w:rFonts w:cs="Times New Roman" w:hint="default"/>
        <w:i w:val="0"/>
        <w:iCs w:val="0"/>
        <w:color w:val="auto"/>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 w15:restartNumberingAfterBreak="0">
    <w:nsid w:val="67FC7C4E"/>
    <w:multiLevelType w:val="hybridMultilevel"/>
    <w:tmpl w:val="2CC25952"/>
    <w:lvl w:ilvl="0" w:tplc="3B2EDE42">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num w:numId="1" w16cid:durableId="3931174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231944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9140078">
    <w:abstractNumId w:val="1"/>
  </w:num>
  <w:num w:numId="4" w16cid:durableId="18502952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8964439">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91555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F1B"/>
    <w:rsid w:val="00041D39"/>
    <w:rsid w:val="00070D03"/>
    <w:rsid w:val="000B2F59"/>
    <w:rsid w:val="000D3F94"/>
    <w:rsid w:val="00116F45"/>
    <w:rsid w:val="00117CCA"/>
    <w:rsid w:val="00197F1B"/>
    <w:rsid w:val="001E2A02"/>
    <w:rsid w:val="00277B27"/>
    <w:rsid w:val="0028056A"/>
    <w:rsid w:val="00300E93"/>
    <w:rsid w:val="003441A8"/>
    <w:rsid w:val="00363B0D"/>
    <w:rsid w:val="00364141"/>
    <w:rsid w:val="00437D80"/>
    <w:rsid w:val="004D0948"/>
    <w:rsid w:val="005103CB"/>
    <w:rsid w:val="00511985"/>
    <w:rsid w:val="00560071"/>
    <w:rsid w:val="00576C6B"/>
    <w:rsid w:val="00591135"/>
    <w:rsid w:val="005F3CA9"/>
    <w:rsid w:val="00615232"/>
    <w:rsid w:val="006A2E46"/>
    <w:rsid w:val="006C5C43"/>
    <w:rsid w:val="006E7FE8"/>
    <w:rsid w:val="00783A65"/>
    <w:rsid w:val="007867FA"/>
    <w:rsid w:val="007C3444"/>
    <w:rsid w:val="007C4A32"/>
    <w:rsid w:val="008416FE"/>
    <w:rsid w:val="00871E2A"/>
    <w:rsid w:val="00887860"/>
    <w:rsid w:val="0089655E"/>
    <w:rsid w:val="009138B7"/>
    <w:rsid w:val="00920B56"/>
    <w:rsid w:val="0098694F"/>
    <w:rsid w:val="00A503D3"/>
    <w:rsid w:val="00A62EAC"/>
    <w:rsid w:val="00AD165C"/>
    <w:rsid w:val="00AF2618"/>
    <w:rsid w:val="00B24461"/>
    <w:rsid w:val="00B704B5"/>
    <w:rsid w:val="00B91EE1"/>
    <w:rsid w:val="00B9305B"/>
    <w:rsid w:val="00BB5778"/>
    <w:rsid w:val="00BC3A7E"/>
    <w:rsid w:val="00BD7802"/>
    <w:rsid w:val="00C5505A"/>
    <w:rsid w:val="00C63FDD"/>
    <w:rsid w:val="00CE43A9"/>
    <w:rsid w:val="00D04E9F"/>
    <w:rsid w:val="00D2012B"/>
    <w:rsid w:val="00D32220"/>
    <w:rsid w:val="00D6090D"/>
    <w:rsid w:val="00DE621D"/>
    <w:rsid w:val="00E03317"/>
    <w:rsid w:val="00E05A50"/>
    <w:rsid w:val="00E42089"/>
    <w:rsid w:val="00F516FC"/>
    <w:rsid w:val="00F73F8F"/>
    <w:rsid w:val="00FD3BF0"/>
    <w:rsid w:val="00FF67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6EBC008A"/>
  <w15:chartTrackingRefBased/>
  <w15:docId w15:val="{3BCA3E83-D616-47E2-BC54-0D10D8578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9"/>
    <w:unhideWhenUsed/>
    <w:qFormat/>
    <w:rsid w:val="00197F1B"/>
    <w:pPr>
      <w:keepNext/>
      <w:spacing w:before="240" w:after="60" w:line="240" w:lineRule="auto"/>
      <w:outlineLvl w:val="1"/>
    </w:pPr>
    <w:rPr>
      <w:rFonts w:ascii="Cambria" w:eastAsia="Times New Roman" w:hAnsi="Cambria"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197F1B"/>
    <w:rPr>
      <w:rFonts w:ascii="Cambria" w:eastAsia="Times New Roman" w:hAnsi="Cambria" w:cs="Times New Roman"/>
      <w:b/>
      <w:bCs/>
      <w:i/>
      <w:iCs/>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197F1B"/>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99"/>
    <w:rsid w:val="00197F1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97F1B"/>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97F1B"/>
    <w:pPr>
      <w:tabs>
        <w:tab w:val="center" w:pos="4819"/>
        <w:tab w:val="right" w:pos="9638"/>
      </w:tabs>
      <w:spacing w:after="0" w:line="240" w:lineRule="auto"/>
    </w:pPr>
  </w:style>
  <w:style w:type="character" w:customStyle="1" w:styleId="HeaderChar">
    <w:name w:val="Header Char"/>
    <w:basedOn w:val="DefaultParagraphFont"/>
    <w:link w:val="Header"/>
    <w:uiPriority w:val="99"/>
    <w:rsid w:val="00197F1B"/>
  </w:style>
  <w:style w:type="paragraph" w:styleId="Footer">
    <w:name w:val="footer"/>
    <w:basedOn w:val="Normal"/>
    <w:link w:val="FooterChar"/>
    <w:uiPriority w:val="99"/>
    <w:unhideWhenUsed/>
    <w:rsid w:val="00197F1B"/>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7F1B"/>
  </w:style>
  <w:style w:type="paragraph" w:styleId="BalloonText">
    <w:name w:val="Balloon Text"/>
    <w:basedOn w:val="Normal"/>
    <w:link w:val="BalloonTextChar"/>
    <w:uiPriority w:val="99"/>
    <w:semiHidden/>
    <w:unhideWhenUsed/>
    <w:rsid w:val="007C34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444"/>
    <w:rPr>
      <w:rFonts w:ascii="Segoe UI" w:hAnsi="Segoe UI" w:cs="Segoe UI"/>
      <w:sz w:val="18"/>
      <w:szCs w:val="18"/>
    </w:rPr>
  </w:style>
  <w:style w:type="character" w:styleId="Hyperlink">
    <w:name w:val="Hyperlink"/>
    <w:basedOn w:val="DefaultParagraphFont"/>
    <w:uiPriority w:val="99"/>
    <w:semiHidden/>
    <w:unhideWhenUsed/>
    <w:rsid w:val="00DE621D"/>
    <w:rPr>
      <w:color w:val="0000FF"/>
      <w:u w:val="single"/>
    </w:rPr>
  </w:style>
  <w:style w:type="character" w:customStyle="1" w:styleId="Laukeliai">
    <w:name w:val="Laukeliai"/>
    <w:basedOn w:val="DefaultParagraphFont"/>
    <w:uiPriority w:val="1"/>
    <w:qFormat/>
    <w:rsid w:val="00DE621D"/>
    <w:rPr>
      <w:rFonts w:ascii="Arial" w:hAnsi="Arial"/>
      <w:sz w:val="20"/>
    </w:rPr>
  </w:style>
  <w:style w:type="table" w:customStyle="1" w:styleId="TableGrid1">
    <w:name w:val="Table Grid1"/>
    <w:basedOn w:val="TableNormal"/>
    <w:uiPriority w:val="39"/>
    <w:rsid w:val="00DE621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73F8F"/>
    <w:rPr>
      <w:sz w:val="16"/>
      <w:szCs w:val="16"/>
    </w:rPr>
  </w:style>
  <w:style w:type="paragraph" w:styleId="CommentText">
    <w:name w:val="annotation text"/>
    <w:basedOn w:val="Normal"/>
    <w:link w:val="CommentTextChar"/>
    <w:uiPriority w:val="99"/>
    <w:unhideWhenUsed/>
    <w:rsid w:val="00F73F8F"/>
    <w:pPr>
      <w:spacing w:line="240" w:lineRule="auto"/>
    </w:pPr>
    <w:rPr>
      <w:sz w:val="20"/>
      <w:szCs w:val="20"/>
    </w:rPr>
  </w:style>
  <w:style w:type="character" w:customStyle="1" w:styleId="CommentTextChar">
    <w:name w:val="Comment Text Char"/>
    <w:basedOn w:val="DefaultParagraphFont"/>
    <w:link w:val="CommentText"/>
    <w:uiPriority w:val="99"/>
    <w:rsid w:val="00F73F8F"/>
    <w:rPr>
      <w:sz w:val="20"/>
      <w:szCs w:val="20"/>
    </w:rPr>
  </w:style>
  <w:style w:type="paragraph" w:styleId="CommentSubject">
    <w:name w:val="annotation subject"/>
    <w:basedOn w:val="CommentText"/>
    <w:next w:val="CommentText"/>
    <w:link w:val="CommentSubjectChar"/>
    <w:uiPriority w:val="99"/>
    <w:semiHidden/>
    <w:unhideWhenUsed/>
    <w:rsid w:val="00F73F8F"/>
    <w:rPr>
      <w:b/>
      <w:bCs/>
    </w:rPr>
  </w:style>
  <w:style w:type="character" w:customStyle="1" w:styleId="CommentSubjectChar">
    <w:name w:val="Comment Subject Char"/>
    <w:basedOn w:val="CommentTextChar"/>
    <w:link w:val="CommentSubject"/>
    <w:uiPriority w:val="99"/>
    <w:semiHidden/>
    <w:rsid w:val="00F73F8F"/>
    <w:rPr>
      <w:b/>
      <w:bCs/>
      <w:sz w:val="20"/>
      <w:szCs w:val="20"/>
    </w:rPr>
  </w:style>
  <w:style w:type="paragraph" w:styleId="Revision">
    <w:name w:val="Revision"/>
    <w:hidden/>
    <w:uiPriority w:val="99"/>
    <w:semiHidden/>
    <w:rsid w:val="000B2F59"/>
    <w:pPr>
      <w:spacing w:after="0" w:line="240" w:lineRule="auto"/>
    </w:pPr>
  </w:style>
  <w:style w:type="character" w:styleId="FollowedHyperlink">
    <w:name w:val="FollowedHyperlink"/>
    <w:basedOn w:val="DefaultParagraphFont"/>
    <w:uiPriority w:val="99"/>
    <w:semiHidden/>
    <w:unhideWhenUsed/>
    <w:rsid w:val="006C5C4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afbf25fa6e592eb144ae2baafd44e61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6721ad12bcdbd0dca93b09a753efc8f4"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DDBB83-AF2C-4E71-9E84-6AA158B2EAF5}"/>
</file>

<file path=customXml/itemProps2.xml><?xml version="1.0" encoding="utf-8"?>
<ds:datastoreItem xmlns:ds="http://schemas.openxmlformats.org/officeDocument/2006/customXml" ds:itemID="{27C069D2-EB14-4DF8-8B5D-982690F7611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C1FBD88-1B3A-46AE-839B-4F27744DE0EA}">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86</TotalTime>
  <Pages>2</Pages>
  <Words>1529</Words>
  <Characters>872</Characters>
  <Application>Microsoft Office Word</Application>
  <DocSecurity>0</DocSecurity>
  <Lines>7</Lines>
  <Paragraphs>4</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2397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5 (20191015)</dc:description>
  <cp:lastModifiedBy>Marius Stankus</cp:lastModifiedBy>
  <cp:revision>43</cp:revision>
  <dcterms:created xsi:type="dcterms:W3CDTF">2019-05-16T13:00:00Z</dcterms:created>
  <dcterms:modified xsi:type="dcterms:W3CDTF">2026-03-20T08:46:00Z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Zivile.Kasparaviciene@le.lt</vt:lpwstr>
  </property>
  <property fmtid="{D5CDD505-2E9C-101B-9397-08002B2CF9AE}" pid="5" name="MSIP_Label_320c693d-44b7-4e16-b3dd-4fcd87401cf5_SetDate">
    <vt:lpwstr>2019-06-11T07:19:21.2492494Z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f01ab589-3d03-4a47-8f50-da3e645bfe7d</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Zivile.Kasparaviciene@le.lt</vt:lpwstr>
  </property>
  <property fmtid="{D5CDD505-2E9C-101B-9397-08002B2CF9AE}" pid="13" name="MSIP_Label_190751af-2442-49a7-b7b9-9f0bcce858c9_SetDate">
    <vt:lpwstr>2019-06-11T07:19:21.2492494Z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ActionId">
    <vt:lpwstr>f01ab589-3d03-4a47-8f50-da3e645bfe7d</vt:lpwstr>
  </property>
  <property fmtid="{D5CDD505-2E9C-101B-9397-08002B2CF9AE}" pid="17" name="MSIP_Label_190751af-2442-49a7-b7b9-9f0bcce858c9_Parent">
    <vt:lpwstr>320c693d-44b7-4e16-b3dd-4fcd87401cf5</vt:lpwstr>
  </property>
  <property fmtid="{D5CDD505-2E9C-101B-9397-08002B2CF9AE}" pid="18" name="MSIP_Label_190751af-2442-49a7-b7b9-9f0bcce858c9_Extended_MSFT_Method">
    <vt:lpwstr>Manual</vt:lpwstr>
  </property>
  <property fmtid="{D5CDD505-2E9C-101B-9397-08002B2CF9AE}" pid="19" name="Sensitivity">
    <vt:lpwstr>Viešo naudojimo Be žymos</vt:lpwstr>
  </property>
  <property fmtid="{D5CDD505-2E9C-101B-9397-08002B2CF9AE}" pid="20" name="ContentTypeId">
    <vt:lpwstr>0x0101009B449E30A9AE884DAA4FE3324857E467</vt:lpwstr>
  </property>
</Properties>
</file>